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B1" w:rsidRDefault="00AA34B1">
      <w:pPr>
        <w:keepNext/>
        <w:pBdr>
          <w:top w:val="nil"/>
          <w:left w:val="nil"/>
          <w:bottom w:val="nil"/>
          <w:right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bookmarkStart w:id="0" w:name="_gjdgxs" w:colFirst="0" w:colLast="0"/>
      <w:bookmarkEnd w:id="0"/>
    </w:p>
    <w:tbl>
      <w:tblPr>
        <w:tblStyle w:val="a"/>
        <w:tblW w:w="8499" w:type="dxa"/>
        <w:tblInd w:w="-5" w:type="dxa"/>
        <w:tblBorders>
          <w:top w:val="single" w:sz="4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499"/>
      </w:tblGrid>
      <w:tr w:rsidR="00AA34B1">
        <w:trPr>
          <w:trHeight w:val="708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A34B1" w:rsidRDefault="008F5E7A">
            <w:pPr>
              <w:spacing w:line="288" w:lineRule="auto"/>
              <w:ind w:left="426" w:right="85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RECOMANACIONS GENERALS</w:t>
            </w:r>
          </w:p>
        </w:tc>
      </w:tr>
      <w:tr w:rsidR="00AA34B1"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A34B1" w:rsidRDefault="008F5E7A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88" w:lineRule="auto"/>
              <w:ind w:right="851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Es recomana realitzar tots els treballs respectant les normes de presentació donades al llarg del curs.</w:t>
            </w:r>
          </w:p>
          <w:p w:rsidR="00AA34B1" w:rsidRDefault="008F5E7A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88" w:lineRule="auto"/>
              <w:ind w:right="851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Procurar treballar tots aquests aspectes de manera variada.</w:t>
            </w:r>
          </w:p>
          <w:p w:rsidR="00AA34B1" w:rsidRDefault="008F5E7A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88" w:lineRule="auto"/>
              <w:ind w:right="851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No avançar-se a la programació. </w:t>
            </w:r>
          </w:p>
          <w:p w:rsidR="00AA34B1" w:rsidRDefault="008F5E7A" w:rsidP="00F63153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88" w:lineRule="auto"/>
              <w:ind w:right="8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El seguiment d’aquesta feina per part de la família sempre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s un factor motivador pels nens i nenes. </w:t>
            </w:r>
          </w:p>
        </w:tc>
      </w:tr>
    </w:tbl>
    <w:p w:rsidR="00AA34B1" w:rsidRDefault="00AA34B1">
      <w:pPr>
        <w:spacing w:line="288" w:lineRule="auto"/>
        <w:ind w:left="720" w:right="851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50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6911"/>
      </w:tblGrid>
      <w:tr w:rsidR="00AA34B1"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A34B1" w:rsidRPr="00901BAF" w:rsidRDefault="008F5E7A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Àrea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AA34B1" w:rsidRPr="00901BAF" w:rsidRDefault="008F5E7A">
            <w:pPr>
              <w:spacing w:before="120" w:after="1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Activitats</w:t>
            </w:r>
          </w:p>
        </w:tc>
      </w:tr>
      <w:tr w:rsidR="00AA34B1"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8F5E7A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General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Estimades famílies,</w:t>
            </w:r>
          </w:p>
          <w:p w:rsidR="00AA34B1" w:rsidRPr="00901BAF" w:rsidRDefault="00171B35" w:rsidP="00901BAF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</w:t>
            </w:r>
            <w:r w:rsidR="008F5E7A"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rran de les circumstàncies inesperades que estem vivint aquests dies, ens posem en contacte amb vosaltres per donar-vos un </w:t>
            </w:r>
            <w:r w:rsidR="008F5E7A"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banc de recursos</w:t>
            </w:r>
            <w:r w:rsidR="008F5E7A"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per si en algun moment podeu fer alguna activitat amb els nens i nenes de 5è.</w:t>
            </w:r>
          </w:p>
          <w:p w:rsidR="00AA34B1" w:rsidRPr="00901BAF" w:rsidRDefault="008F5E7A" w:rsidP="00F135CA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Són activitats de repàs de tot allò q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ue hem après i a la vegada són complementàries a totes les feines que hem estat fins ara, no són activitats obligatòries, únicament són activitats de suport que podeu fer de manera voluntària.</w:t>
            </w:r>
            <w:bookmarkStart w:id="1" w:name="_GoBack"/>
            <w:bookmarkEnd w:id="1"/>
          </w:p>
        </w:tc>
      </w:tr>
      <w:tr w:rsidR="00AA34B1">
        <w:tc>
          <w:tcPr>
            <w:tcW w:w="15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8F5E7A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Anglès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Activities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for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practising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your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Listening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skills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 As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remember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well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Saint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Patrick’s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Day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will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be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celebrated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in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Ireland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this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week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I’ve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found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an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interesting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vídeo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about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it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on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Youtube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that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could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listen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to: https://youtu.be/f8sFjixnb2U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“Saint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Patrick’s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day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for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kids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”.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If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want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to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learn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more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about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Solar System, I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recommend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</w:t>
            </w:r>
            <w:proofErr w:type="spellEnd"/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to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listen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to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this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video: “Solar System 101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National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Geographic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”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https://youtu.be/libKVRa01L8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Activity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for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practising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your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Speaking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skills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Remember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that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have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to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prepare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your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Mini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Teacher</w:t>
            </w:r>
            <w:proofErr w:type="spellEnd"/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presentation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in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pairs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could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start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looking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for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information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and</w:t>
            </w:r>
            <w:proofErr w:type="spellEnd"/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share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it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through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e-mails.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 xml:space="preserve">- 1st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Homeschooling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in Unit 4.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Revision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of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vocabulary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Activity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for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practising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your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Reading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skills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Rea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ding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comprehension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activity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: “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Reading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Tetris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” (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see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file</w:t>
            </w:r>
            <w:proofErr w:type="spellEnd"/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attached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Activity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for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practising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your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Writing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skills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Write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diary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during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this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week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(1 or 2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sentences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every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day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explaining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what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or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your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family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did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day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before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You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have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to</w:t>
            </w:r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write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the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se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ntences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using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Past Simple or/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and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Past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Progressive</w:t>
            </w:r>
            <w:proofErr w:type="spellEnd"/>
          </w:p>
          <w:p w:rsidR="00AA34B1" w:rsidRPr="00901BAF" w:rsidRDefault="008F5E7A" w:rsidP="0036798F">
            <w:pPr>
              <w:spacing w:before="120" w:after="12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tenses.</w:t>
            </w:r>
          </w:p>
        </w:tc>
      </w:tr>
      <w:tr w:rsidR="00AA34B1">
        <w:tc>
          <w:tcPr>
            <w:tcW w:w="1593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8F5E7A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Llengües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-El </w:t>
            </w: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diari setmanal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continua tal i com ho ha fet en el darrer trimestre. Qui vulgui, el pot fer dia a dia i hi pot afegir allò que li vingui de gust: dibuixos,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lettering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fotos,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etc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… Sigueu creatius! </w:t>
            </w:r>
          </w:p>
        </w:tc>
      </w:tr>
      <w:tr w:rsidR="00AA34B1">
        <w:tc>
          <w:tcPr>
            <w:tcW w:w="1593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AA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 Aquests dies que teniu temps podeu </w:t>
            </w: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llegir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una mica més que de costum. Després de la lectura podeu fer mini-fitxes de recomanació per penjar a la classe. Al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blog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trobareu una foto d’un exemple de fitxa. Ja que aquests dies no podeu sortir de casa, llegir us farà viatjar a llocs meravellosos! </w:t>
            </w:r>
          </w:p>
        </w:tc>
      </w:tr>
      <w:tr w:rsidR="00AA34B1">
        <w:tc>
          <w:tcPr>
            <w:tcW w:w="1593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AA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 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Si voleu practicar la </w:t>
            </w: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comprensió lectora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podeu fer les pàgines 14, 15, 24 i 25 del quadern 14. Hi ha un parell de comprensions que no teníem programades.</w:t>
            </w:r>
          </w:p>
        </w:tc>
      </w:tr>
      <w:tr w:rsidR="00AA34B1">
        <w:tc>
          <w:tcPr>
            <w:tcW w:w="1593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AA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-Al </w:t>
            </w:r>
            <w:proofErr w:type="spellStart"/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blog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trobareu jocs de llengua on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line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enllaçats. També algun material fet expressament per a vosaltres per repassar el que estàvem fent aquests dies. </w:t>
            </w:r>
          </w:p>
        </w:tc>
      </w:tr>
      <w:tr w:rsidR="00AA34B1">
        <w:trPr>
          <w:trHeight w:val="736"/>
        </w:trPr>
        <w:tc>
          <w:tcPr>
            <w:tcW w:w="1593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8F5E7A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Mates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Una fitxa per practicar divisions </w:t>
            </w:r>
          </w:p>
          <w:p w:rsidR="00AA34B1" w:rsidRPr="00901BAF" w:rsidRDefault="008F5E7A" w:rsidP="0036798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hyperlink r:id="rId8">
              <w:r w:rsidRPr="00901BAF">
                <w:rPr>
                  <w:rFonts w:asciiTheme="majorHAnsi" w:eastAsia="Calibri" w:hAnsiTheme="majorHAnsi" w:cstheme="majorHAnsi"/>
                  <w:color w:val="1155CC"/>
                  <w:sz w:val="24"/>
                  <w:szCs w:val="24"/>
                  <w:u w:val="single"/>
                </w:rPr>
                <w:t>https://drive.google.com/file/d/1dcLEUDGFoMMWR4G-_vxwLJ5gPMAELvT5/view?usp=sharing</w:t>
              </w:r>
            </w:hyperlink>
          </w:p>
        </w:tc>
      </w:tr>
      <w:tr w:rsidR="00AA34B1">
        <w:trPr>
          <w:trHeight w:val="491"/>
        </w:trPr>
        <w:tc>
          <w:tcPr>
            <w:tcW w:w="1593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AA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Fitxa de problemes</w:t>
            </w:r>
          </w:p>
          <w:p w:rsidR="00AA34B1" w:rsidRPr="00901BAF" w:rsidRDefault="008F5E7A" w:rsidP="0036798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hyperlink r:id="rId9">
              <w:r w:rsidRPr="00901BAF">
                <w:rPr>
                  <w:rFonts w:asciiTheme="majorHAnsi" w:eastAsia="Calibri" w:hAnsiTheme="majorHAnsi" w:cstheme="majorHAnsi"/>
                  <w:color w:val="1155CC"/>
                  <w:sz w:val="24"/>
                  <w:szCs w:val="24"/>
                  <w:u w:val="single"/>
                </w:rPr>
                <w:t>https://drive.google.com/file/d/1o2YTqFEgSLK9NGYVxEo1blhHOloanD6O/view?usp=sharing</w:t>
              </w:r>
            </w:hyperlink>
          </w:p>
        </w:tc>
      </w:tr>
      <w:tr w:rsidR="00AA34B1">
        <w:tc>
          <w:tcPr>
            <w:tcW w:w="1593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AA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Recursos web</w:t>
            </w:r>
          </w:p>
          <w:p w:rsidR="00AA34B1" w:rsidRPr="00901BAF" w:rsidRDefault="008F5E7A" w:rsidP="00901BA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hyperlink r:id="rId10">
              <w:r w:rsidRPr="00901BAF">
                <w:rPr>
                  <w:rFonts w:asciiTheme="majorHAnsi" w:eastAsia="Calibri" w:hAnsiTheme="majorHAnsi" w:cstheme="majorHAnsi"/>
                  <w:color w:val="1155CC"/>
                  <w:sz w:val="24"/>
                  <w:szCs w:val="24"/>
                  <w:u w:val="single"/>
                </w:rPr>
                <w:t>https://es.ixl.com/math/5-primaria</w:t>
              </w:r>
            </w:hyperlink>
          </w:p>
        </w:tc>
      </w:tr>
      <w:tr w:rsidR="00AA34B1">
        <w:tc>
          <w:tcPr>
            <w:tcW w:w="15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8F5E7A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Coneixement del Medi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numPr>
                <w:ilvl w:val="0"/>
                <w:numId w:val="3"/>
              </w:numPr>
              <w:spacing w:before="120" w:after="0"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-- Programa </w:t>
            </w: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SALVEM EL FARTET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. Els fartets que ens van portar a l’escola ja estan sans i estalvis al Zoo. Proposem investigar més sobre el fartet i els seus hàbits de vida i el seu ecosistema. Podeu r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ecollir les informacions de la manera que vulgueu (fitxes, mini-murals,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power-point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etc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).</w:t>
            </w:r>
          </w:p>
          <w:p w:rsidR="00AA34B1" w:rsidRPr="00901BAF" w:rsidRDefault="008F5E7A" w:rsidP="00901BAF">
            <w:pPr>
              <w:numPr>
                <w:ilvl w:val="0"/>
                <w:numId w:val="3"/>
              </w:numPr>
              <w:spacing w:after="0"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--- </w:t>
            </w: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Visitar el </w:t>
            </w:r>
            <w:proofErr w:type="spellStart"/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blog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 cinquè i visualitzar vídeos i activitats sobre els temes que hem anat fent fins ara a classe.</w:t>
            </w:r>
          </w:p>
          <w:p w:rsidR="00AA34B1" w:rsidRPr="00901BAF" w:rsidRDefault="008F5E7A" w:rsidP="00901BAF">
            <w:pPr>
              <w:numPr>
                <w:ilvl w:val="0"/>
                <w:numId w:val="3"/>
              </w:numPr>
              <w:spacing w:after="120"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--- </w:t>
            </w: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RECERKIDS</w:t>
            </w: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. Per a aquells alumnes que formeu part del projecte, recordeu que estem ja en la fase de preparar la comunicació final en forma de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poster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. Visiteu el drive del projecte on teniu els materials gràfics per poder anar configurant el mural final. </w:t>
            </w:r>
          </w:p>
        </w:tc>
      </w:tr>
      <w:tr w:rsidR="00901BAF">
        <w:tc>
          <w:tcPr>
            <w:tcW w:w="15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01BAF" w:rsidRPr="00901BAF" w:rsidRDefault="00901BAF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hAnsiTheme="majorHAnsi" w:cstheme="majorHAnsi"/>
                <w:b/>
                <w:sz w:val="24"/>
                <w:szCs w:val="24"/>
              </w:rPr>
              <w:t>Religió</w:t>
            </w:r>
          </w:p>
        </w:tc>
        <w:tc>
          <w:tcPr>
            <w:tcW w:w="691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901BAF" w:rsidRPr="00901BAF" w:rsidRDefault="00901BAF" w:rsidP="00901BAF">
            <w:pPr>
              <w:snapToGrid w:val="0"/>
              <w:spacing w:before="120" w:after="120"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hAnsiTheme="majorHAnsi" w:cstheme="majorHAnsi"/>
                <w:sz w:val="24"/>
                <w:szCs w:val="24"/>
              </w:rPr>
              <w:t xml:space="preserve">Poden repassar el Tema 1 fent els INTERACTIUS de Mesopotàmia, Egipte, Grècia i Roma que tenen en el bloc: </w:t>
            </w:r>
            <w:r w:rsidRPr="00901BAF">
              <w:rPr>
                <w:rFonts w:asciiTheme="majorHAnsi" w:hAnsiTheme="majorHAnsi" w:cstheme="majorHAnsi"/>
                <w:b/>
                <w:sz w:val="24"/>
                <w:szCs w:val="24"/>
              </w:rPr>
              <w:t>relicinque.blogspot.com.es</w:t>
            </w:r>
          </w:p>
          <w:p w:rsidR="00901BAF" w:rsidRPr="00901BAF" w:rsidRDefault="00901BAF" w:rsidP="00901BAF">
            <w:pPr>
              <w:snapToGrid w:val="0"/>
              <w:spacing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hAnsiTheme="majorHAnsi" w:cstheme="majorHAnsi"/>
                <w:sz w:val="24"/>
                <w:szCs w:val="24"/>
              </w:rPr>
              <w:t>Vídeo sobre Abraham</w:t>
            </w:r>
          </w:p>
          <w:p w:rsidR="00901BAF" w:rsidRPr="00901BAF" w:rsidRDefault="00901BAF" w:rsidP="00901BAF">
            <w:pPr>
              <w:snapToGrid w:val="0"/>
              <w:spacing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 w:history="1">
              <w:r w:rsidRPr="00901BAF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https://www.youtube.com/watch?v=BoZW6L2iPGA</w:t>
              </w:r>
            </w:hyperlink>
          </w:p>
          <w:p w:rsidR="00901BAF" w:rsidRPr="00901BAF" w:rsidRDefault="00901BAF" w:rsidP="00901BAF">
            <w:pPr>
              <w:snapToGrid w:val="0"/>
              <w:spacing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hAnsiTheme="majorHAnsi" w:cstheme="majorHAnsi"/>
                <w:sz w:val="24"/>
                <w:szCs w:val="24"/>
              </w:rPr>
              <w:t>Vídeo sobre Moisès</w:t>
            </w:r>
          </w:p>
          <w:p w:rsidR="00901BAF" w:rsidRPr="00901BAF" w:rsidRDefault="00901BAF" w:rsidP="00901BAF">
            <w:pPr>
              <w:numPr>
                <w:ilvl w:val="0"/>
                <w:numId w:val="3"/>
              </w:numPr>
              <w:spacing w:before="120" w:after="0" w:line="276" w:lineRule="auto"/>
              <w:ind w:left="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hyperlink r:id="rId12" w:history="1">
              <w:r w:rsidRPr="00901BAF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https://www.youtube.com/watch?v=B56FTSiEk_A</w:t>
              </w:r>
            </w:hyperlink>
          </w:p>
        </w:tc>
      </w:tr>
      <w:tr w:rsidR="00AA34B1">
        <w:tc>
          <w:tcPr>
            <w:tcW w:w="15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8F5E7A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Llocs web</w:t>
            </w:r>
          </w:p>
        </w:tc>
        <w:tc>
          <w:tcPr>
            <w:tcW w:w="6911" w:type="dxa"/>
            <w:tcBorders>
              <w:top w:val="nil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901BA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color w:val="1155CC"/>
                <w:sz w:val="24"/>
                <w:szCs w:val="24"/>
                <w:u w:val="single"/>
              </w:rPr>
            </w:pP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Blog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 5è:</w:t>
            </w:r>
            <w:hyperlink r:id="rId13">
              <w:r w:rsidRPr="00901BAF">
                <w:rPr>
                  <w:rFonts w:asciiTheme="majorHAnsi" w:eastAsia="Calibri" w:hAnsiTheme="majorHAnsi" w:cstheme="majorHAnsi"/>
                  <w:sz w:val="24"/>
                  <w:szCs w:val="24"/>
                </w:rPr>
                <w:t xml:space="preserve"> </w:t>
              </w:r>
            </w:hyperlink>
            <w:hyperlink r:id="rId14">
              <w:r w:rsidRPr="00901BAF">
                <w:rPr>
                  <w:rFonts w:asciiTheme="majorHAnsi" w:eastAsia="Calibri" w:hAnsiTheme="majorHAnsi" w:cstheme="majorHAnsi"/>
                  <w:color w:val="1155CC"/>
                  <w:sz w:val="24"/>
                  <w:szCs w:val="24"/>
                  <w:u w:val="single"/>
                </w:rPr>
                <w:t>https://claretbarcelona5e.blogspot.com/</w:t>
              </w:r>
            </w:hyperlink>
          </w:p>
          <w:p w:rsidR="00AA34B1" w:rsidRPr="00901BAF" w:rsidRDefault="008F5E7A" w:rsidP="00901BA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MATEMÀTIQUES; Exercicis interactius diversos:</w:t>
            </w:r>
          </w:p>
          <w:p w:rsidR="00AA34B1" w:rsidRPr="00901BAF" w:rsidRDefault="008F5E7A" w:rsidP="00901BAF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hyperlink r:id="rId15">
              <w:r w:rsidRPr="00901BAF">
                <w:rPr>
                  <w:rFonts w:asciiTheme="majorHAnsi" w:hAnsiTheme="majorHAnsi" w:cstheme="majorHAnsi"/>
                  <w:color w:val="1155CC"/>
                  <w:sz w:val="24"/>
                  <w:szCs w:val="24"/>
                  <w:u w:val="single"/>
                </w:rPr>
                <w:t>https://www.matematicasonline.es/primaria5/5primaria1.html</w:t>
              </w:r>
            </w:hyperlink>
          </w:p>
        </w:tc>
      </w:tr>
      <w:tr w:rsidR="00AA34B1">
        <w:tc>
          <w:tcPr>
            <w:tcW w:w="15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AA34B1" w:rsidRPr="00901BAF" w:rsidRDefault="008F5E7A">
            <w:pPr>
              <w:spacing w:before="40" w:after="4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Altres</w:t>
            </w:r>
          </w:p>
        </w:tc>
        <w:tc>
          <w:tcPr>
            <w:tcW w:w="6911" w:type="dxa"/>
            <w:tcBorders>
              <w:top w:val="nil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  <w:vAlign w:val="center"/>
          </w:tcPr>
          <w:p w:rsidR="00AA34B1" w:rsidRPr="00901BAF" w:rsidRDefault="008F5E7A" w:rsidP="0036798F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Tanmateix, els tutors us anirem penjant al </w:t>
            </w:r>
            <w:proofErr w:type="spellStart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>blog</w:t>
            </w:r>
            <w:proofErr w:type="spellEnd"/>
            <w:r w:rsidRPr="00901BA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activitats alternatives i petits reptes per seguir engrescats aquests dies de confinament a casa.</w:t>
            </w:r>
          </w:p>
        </w:tc>
      </w:tr>
    </w:tbl>
    <w:p w:rsidR="00AA34B1" w:rsidRDefault="00AA34B1">
      <w:pPr>
        <w:jc w:val="both"/>
        <w:rPr>
          <w:rFonts w:ascii="Calibri" w:eastAsia="Calibri" w:hAnsi="Calibri" w:cs="Calibri"/>
        </w:rPr>
      </w:pPr>
    </w:p>
    <w:p w:rsidR="00AA34B1" w:rsidRDefault="00AA34B1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</w:p>
    <w:p w:rsidR="00AA34B1" w:rsidRDefault="00AA34B1">
      <w:pPr>
        <w:spacing w:after="200"/>
        <w:jc w:val="both"/>
        <w:rPr>
          <w:rFonts w:ascii="Cambria" w:eastAsia="Cambria" w:hAnsi="Cambria" w:cs="Cambria"/>
          <w:sz w:val="24"/>
          <w:szCs w:val="24"/>
        </w:rPr>
      </w:pPr>
    </w:p>
    <w:p w:rsidR="00AA34B1" w:rsidRDefault="00AA34B1"/>
    <w:p w:rsidR="00AA34B1" w:rsidRDefault="00AA34B1"/>
    <w:sectPr w:rsidR="00AA34B1">
      <w:headerReference w:type="default" r:id="rId16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7A" w:rsidRDefault="008F5E7A">
      <w:pPr>
        <w:spacing w:after="0" w:line="240" w:lineRule="auto"/>
      </w:pPr>
      <w:r>
        <w:separator/>
      </w:r>
    </w:p>
  </w:endnote>
  <w:endnote w:type="continuationSeparator" w:id="0">
    <w:p w:rsidR="008F5E7A" w:rsidRDefault="008F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7A" w:rsidRDefault="008F5E7A">
      <w:pPr>
        <w:spacing w:after="0" w:line="240" w:lineRule="auto"/>
      </w:pPr>
      <w:r>
        <w:separator/>
      </w:r>
    </w:p>
  </w:footnote>
  <w:footnote w:type="continuationSeparator" w:id="0">
    <w:p w:rsidR="008F5E7A" w:rsidRDefault="008F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B1" w:rsidRDefault="008F5E7A">
    <w:r>
      <w:rPr>
        <w:noProof/>
        <w:lang w:val="es-E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4192270</wp:posOffset>
          </wp:positionH>
          <wp:positionV relativeFrom="paragraph">
            <wp:posOffset>-427354</wp:posOffset>
          </wp:positionV>
          <wp:extent cx="1876425" cy="7810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E1C0962"/>
    <w:multiLevelType w:val="multilevel"/>
    <w:tmpl w:val="5F36F1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37D695D"/>
    <w:multiLevelType w:val="multilevel"/>
    <w:tmpl w:val="A6CA40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8568E8"/>
    <w:multiLevelType w:val="multilevel"/>
    <w:tmpl w:val="CC5CA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26C2EB5"/>
    <w:multiLevelType w:val="multilevel"/>
    <w:tmpl w:val="22F447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62854954"/>
    <w:multiLevelType w:val="multilevel"/>
    <w:tmpl w:val="A6C8D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34B1"/>
    <w:rsid w:val="00023EB9"/>
    <w:rsid w:val="00171B35"/>
    <w:rsid w:val="0036798F"/>
    <w:rsid w:val="008F5E7A"/>
    <w:rsid w:val="00901BAF"/>
    <w:rsid w:val="00AA34B1"/>
    <w:rsid w:val="00F135CA"/>
    <w:rsid w:val="00F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lang w:val="ca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character" w:styleId="Hipervnculo">
    <w:name w:val="Hyperlink"/>
    <w:rsid w:val="00901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lang w:val="ca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character" w:styleId="Hipervnculo">
    <w:name w:val="Hyperlink"/>
    <w:rsid w:val="00901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cLEUDGFoMMWR4G-_vxwLJ5gPMAELvT5/view?usp=sharing" TargetMode="External"/><Relationship Id="rId13" Type="http://schemas.openxmlformats.org/officeDocument/2006/relationships/hyperlink" Target="https://claretbarcelona5e.blogspot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56FTSiEk_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oZW6L2iP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ematicasonline.es/primaria5/5primaria1.html" TargetMode="External"/><Relationship Id="rId10" Type="http://schemas.openxmlformats.org/officeDocument/2006/relationships/hyperlink" Target="https://es.ixl.com/math/5-prima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2YTqFEgSLK9NGYVxEo1blhHOloanD6O/view?usp=sharing" TargetMode="External"/><Relationship Id="rId14" Type="http://schemas.openxmlformats.org/officeDocument/2006/relationships/hyperlink" Target="https://claretbarcelona5e.blogspo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Carreras</dc:creator>
  <cp:lastModifiedBy>Marga Carreras</cp:lastModifiedBy>
  <cp:revision>7</cp:revision>
  <dcterms:created xsi:type="dcterms:W3CDTF">2020-03-16T12:41:00Z</dcterms:created>
  <dcterms:modified xsi:type="dcterms:W3CDTF">2020-03-16T12:42:00Z</dcterms:modified>
</cp:coreProperties>
</file>